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255B8" w14:textId="77777777" w:rsidR="002E0C4B" w:rsidRPr="00CB43DE" w:rsidRDefault="002E0C4B" w:rsidP="002E0C4B">
      <w:pPr>
        <w:jc w:val="center"/>
        <w:rPr>
          <w:b/>
          <w:bCs/>
          <w:lang w:bidi="ar-SA"/>
        </w:rPr>
      </w:pPr>
      <w:r w:rsidRPr="00CB43DE">
        <w:rPr>
          <w:b/>
          <w:bCs/>
          <w:lang w:bidi="ar-SA"/>
        </w:rPr>
        <w:t>VVII.  Procurement Policy</w:t>
      </w:r>
    </w:p>
    <w:p w14:paraId="583F643C" w14:textId="77777777" w:rsidR="002E0C4B" w:rsidRPr="00106E8A" w:rsidRDefault="002E0C4B" w:rsidP="002E0C4B">
      <w:pPr>
        <w:pStyle w:val="NormalWeb"/>
        <w:spacing w:before="0" w:beforeAutospacing="0" w:after="0" w:afterAutospacing="0"/>
        <w:jc w:val="center"/>
        <w:rPr>
          <w:rFonts w:asciiTheme="minorHAnsi" w:hAnsiTheme="minorHAnsi"/>
        </w:rPr>
      </w:pPr>
    </w:p>
    <w:p w14:paraId="7B045086" w14:textId="5EC07137" w:rsidR="0091611C" w:rsidRPr="0091611C" w:rsidRDefault="002E0C4B" w:rsidP="0091611C">
      <w:pPr>
        <w:rPr>
          <w:rFonts w:asciiTheme="minorHAnsi" w:hAnsiTheme="minorHAnsi" w:cstheme="minorHAnsi"/>
        </w:rPr>
      </w:pPr>
      <w:r w:rsidRPr="00EC391F">
        <w:rPr>
          <w:rFonts w:asciiTheme="minorHAnsi" w:hAnsiTheme="minorHAnsi" w:cstheme="minorHAnsi"/>
        </w:rPr>
        <w:t xml:space="preserve">The overall purpose of procurement regulations is to ensure that JTHG </w:t>
      </w:r>
      <w:r w:rsidR="00843702">
        <w:rPr>
          <w:rFonts w:asciiTheme="minorHAnsi" w:hAnsiTheme="minorHAnsi" w:cstheme="minorHAnsi"/>
        </w:rPr>
        <w:t>obtain</w:t>
      </w:r>
      <w:r w:rsidRPr="00EC391F">
        <w:rPr>
          <w:rFonts w:asciiTheme="minorHAnsi" w:hAnsiTheme="minorHAnsi" w:cstheme="minorHAnsi"/>
        </w:rPr>
        <w:t xml:space="preserve">s the highest quality of desired goods and services </w:t>
      </w:r>
      <w:r w:rsidRPr="0091611C">
        <w:rPr>
          <w:rFonts w:asciiTheme="minorHAnsi" w:hAnsiTheme="minorHAnsi" w:cstheme="minorHAnsi"/>
        </w:rPr>
        <w:t xml:space="preserve">at the best price possible.  JTHG also desires to follow </w:t>
      </w:r>
      <w:r w:rsidR="00843702" w:rsidRPr="0091611C">
        <w:rPr>
          <w:rFonts w:asciiTheme="minorHAnsi" w:hAnsiTheme="minorHAnsi" w:cstheme="minorHAnsi"/>
        </w:rPr>
        <w:t>the</w:t>
      </w:r>
      <w:r w:rsidRPr="0091611C">
        <w:rPr>
          <w:rFonts w:asciiTheme="minorHAnsi" w:hAnsiTheme="minorHAnsi" w:cstheme="minorHAnsi"/>
        </w:rPr>
        <w:t xml:space="preserve"> Federal and State procurement best practices.  Federal Guidelines can be found under Subpart D – Post Federal Award Requirements (85 FR 49543, August 13, 2020).</w:t>
      </w:r>
      <w:r w:rsidR="0091611C" w:rsidRPr="0091611C">
        <w:rPr>
          <w:rFonts w:asciiTheme="minorHAnsi" w:hAnsiTheme="minorHAnsi" w:cstheme="minorHAnsi"/>
        </w:rPr>
        <w:t xml:space="preserve">   Virginia Guidelines are located under the Virginia Public Procurement Act (</w:t>
      </w:r>
      <w:r w:rsidR="0091611C" w:rsidRPr="0091611C">
        <w:rPr>
          <w:rFonts w:asciiTheme="minorHAnsi" w:hAnsiTheme="minorHAnsi" w:cstheme="minorHAnsi"/>
          <w:color w:val="444444"/>
          <w:bdr w:val="none" w:sz="0" w:space="0" w:color="auto" w:frame="1"/>
          <w:lang w:bidi="ar-SA"/>
        </w:rPr>
        <w:t>§ 2.2-4300. Short title; purpose; declaration of intent)</w:t>
      </w:r>
    </w:p>
    <w:p w14:paraId="653E3F5D" w14:textId="77777777" w:rsidR="002E0C4B" w:rsidRPr="0091611C" w:rsidRDefault="002E0C4B" w:rsidP="002E0C4B">
      <w:pPr>
        <w:rPr>
          <w:rFonts w:asciiTheme="minorHAnsi" w:hAnsiTheme="minorHAnsi" w:cstheme="minorHAnsi"/>
        </w:rPr>
      </w:pPr>
    </w:p>
    <w:p w14:paraId="2011C50E" w14:textId="77777777" w:rsidR="002E0C4B" w:rsidRPr="00EC391F" w:rsidRDefault="002E0C4B" w:rsidP="002E0C4B">
      <w:pPr>
        <w:rPr>
          <w:rFonts w:asciiTheme="minorHAnsi" w:hAnsiTheme="minorHAnsi" w:cstheme="minorHAnsi"/>
        </w:rPr>
      </w:pPr>
      <w:r w:rsidRPr="00EC391F">
        <w:rPr>
          <w:rFonts w:asciiTheme="minorHAnsi" w:hAnsiTheme="minorHAnsi" w:cstheme="minorHAnsi"/>
        </w:rPr>
        <w:t xml:space="preserve">JTHG’s procurement policy is aimed at streamlining the process of procurement while maintaining adequate controls.  These procurement procedures apply to all staff involved in the procurement process and to all types of procurement.   </w:t>
      </w:r>
    </w:p>
    <w:p w14:paraId="64C15DA2" w14:textId="77777777" w:rsidR="002E0C4B" w:rsidRPr="00EC391F" w:rsidRDefault="002E0C4B" w:rsidP="002E0C4B">
      <w:pPr>
        <w:rPr>
          <w:rFonts w:asciiTheme="minorHAnsi" w:hAnsiTheme="minorHAnsi" w:cstheme="minorHAnsi"/>
        </w:rPr>
      </w:pPr>
    </w:p>
    <w:p w14:paraId="69320EDA" w14:textId="77777777" w:rsidR="002E0C4B" w:rsidRPr="00EC391F" w:rsidRDefault="002E0C4B" w:rsidP="002E0C4B">
      <w:pPr>
        <w:rPr>
          <w:rStyle w:val="paragraph-hierarchy"/>
          <w:rFonts w:asciiTheme="minorHAnsi" w:hAnsiTheme="minorHAnsi" w:cstheme="minorHAnsi"/>
        </w:rPr>
      </w:pPr>
      <w:r w:rsidRPr="00EC391F">
        <w:rPr>
          <w:rStyle w:val="paragraph-hierarchy"/>
          <w:rFonts w:asciiTheme="minorHAnsi" w:hAnsiTheme="minorHAnsi" w:cstheme="minorHAnsi"/>
        </w:rPr>
        <w:t>JTHG has three levels of purchasing requirements.</w:t>
      </w:r>
    </w:p>
    <w:p w14:paraId="4070BCD4" w14:textId="77777777" w:rsidR="002E0C4B" w:rsidRPr="00EC391F" w:rsidRDefault="002E0C4B" w:rsidP="002E0C4B">
      <w:pPr>
        <w:rPr>
          <w:rStyle w:val="paragraph-hierarchy"/>
          <w:rFonts w:asciiTheme="minorHAnsi" w:hAnsiTheme="minorHAnsi" w:cstheme="minorHAnsi"/>
        </w:rPr>
      </w:pPr>
    </w:p>
    <w:p w14:paraId="4008DF9E" w14:textId="45EA3DAE" w:rsidR="002E0C4B" w:rsidRPr="00EC391F" w:rsidRDefault="002E0C4B" w:rsidP="002E0C4B">
      <w:pPr>
        <w:pStyle w:val="ListParagraph"/>
        <w:numPr>
          <w:ilvl w:val="0"/>
          <w:numId w:val="1"/>
        </w:numPr>
        <w:rPr>
          <w:rFonts w:asciiTheme="minorHAnsi" w:hAnsiTheme="minorHAnsi" w:cstheme="minorHAnsi"/>
        </w:rPr>
      </w:pPr>
      <w:r w:rsidRPr="00EC391F">
        <w:rPr>
          <w:rStyle w:val="Emphasis"/>
          <w:rFonts w:asciiTheme="minorHAnsi" w:hAnsiTheme="minorHAnsi" w:cstheme="minorHAnsi"/>
          <w:b w:val="0"/>
          <w:bCs/>
        </w:rPr>
        <w:t>Micro-purchase awards (Expenditures less than $10,000)</w:t>
      </w:r>
    </w:p>
    <w:p w14:paraId="2F7778A1" w14:textId="4849C34A" w:rsidR="002E0C4B" w:rsidRPr="00EC391F" w:rsidRDefault="002E0C4B" w:rsidP="002E0C4B">
      <w:pPr>
        <w:pStyle w:val="ListParagraph"/>
        <w:numPr>
          <w:ilvl w:val="1"/>
          <w:numId w:val="1"/>
        </w:numPr>
        <w:rPr>
          <w:rFonts w:asciiTheme="minorHAnsi" w:hAnsiTheme="minorHAnsi" w:cstheme="minorHAnsi"/>
        </w:rPr>
      </w:pPr>
      <w:r w:rsidRPr="00EC391F">
        <w:rPr>
          <w:rFonts w:asciiTheme="minorHAnsi" w:hAnsiTheme="minorHAnsi" w:cstheme="minorHAnsi"/>
        </w:rPr>
        <w:t>Micro-purchases may be awarded without soliciting competitive price or rate quotations if JTHG considers the price to be reasonable based on research, experience, purchase history or other information. Credit cards can be used for micro-purchases.  Receipts and the necessary approvals are maintained for these purchases.</w:t>
      </w:r>
    </w:p>
    <w:p w14:paraId="155B963A" w14:textId="77777777" w:rsidR="002E0C4B" w:rsidRPr="00EC391F" w:rsidRDefault="002E0C4B" w:rsidP="002E0C4B">
      <w:pPr>
        <w:pStyle w:val="indent-2"/>
        <w:numPr>
          <w:ilvl w:val="0"/>
          <w:numId w:val="1"/>
        </w:numPr>
        <w:rPr>
          <w:rStyle w:val="Emphasis"/>
          <w:rFonts w:asciiTheme="minorHAnsi" w:hAnsiTheme="minorHAnsi" w:cstheme="minorHAnsi"/>
          <w:b w:val="0"/>
          <w:i w:val="0"/>
          <w:iCs w:val="0"/>
        </w:rPr>
      </w:pPr>
      <w:r w:rsidRPr="00EC391F">
        <w:rPr>
          <w:rStyle w:val="Emphasis"/>
          <w:rFonts w:asciiTheme="minorHAnsi" w:hAnsiTheme="minorHAnsi" w:cstheme="minorHAnsi"/>
          <w:b w:val="0"/>
          <w:bCs/>
        </w:rPr>
        <w:t>Small purchase awards (Expenditures $10,001 - $250,000)</w:t>
      </w:r>
    </w:p>
    <w:p w14:paraId="759EEB76" w14:textId="4854A693" w:rsidR="002E0C4B" w:rsidRPr="00EC391F" w:rsidRDefault="002E0C4B" w:rsidP="002E0C4B">
      <w:pPr>
        <w:pStyle w:val="indent-3"/>
        <w:numPr>
          <w:ilvl w:val="1"/>
          <w:numId w:val="1"/>
        </w:numPr>
        <w:rPr>
          <w:rFonts w:asciiTheme="minorHAnsi" w:hAnsiTheme="minorHAnsi" w:cstheme="minorHAnsi"/>
        </w:rPr>
      </w:pPr>
      <w:r w:rsidRPr="00EC391F">
        <w:rPr>
          <w:rFonts w:asciiTheme="minorHAnsi" w:hAnsiTheme="minorHAnsi" w:cstheme="minorHAnsi"/>
        </w:rPr>
        <w:t xml:space="preserve">Small purchase awards are the purchase, in aggregate, for purchases $10,001 to $250,000.  </w:t>
      </w:r>
    </w:p>
    <w:p w14:paraId="020501DD" w14:textId="352906C1" w:rsidR="002E0C4B" w:rsidRPr="0021199C" w:rsidRDefault="00A85BE1" w:rsidP="0021199C">
      <w:pPr>
        <w:pStyle w:val="indent-3"/>
        <w:numPr>
          <w:ilvl w:val="1"/>
          <w:numId w:val="1"/>
        </w:numPr>
        <w:rPr>
          <w:rFonts w:asciiTheme="minorHAnsi" w:hAnsiTheme="minorHAnsi" w:cstheme="minorHAnsi"/>
        </w:rPr>
      </w:pPr>
      <w:r w:rsidRPr="0021199C">
        <w:rPr>
          <w:rFonts w:asciiTheme="minorHAnsi" w:hAnsiTheme="minorHAnsi" w:cstheme="minorHAnsi"/>
        </w:rPr>
        <w:t xml:space="preserve">Two or more </w:t>
      </w:r>
      <w:r w:rsidR="0021199C" w:rsidRPr="0021199C">
        <w:rPr>
          <w:rFonts w:asciiTheme="minorHAnsi" w:hAnsiTheme="minorHAnsi" w:cstheme="minorHAnsi"/>
        </w:rPr>
        <w:t xml:space="preserve">proposals or </w:t>
      </w:r>
      <w:r w:rsidR="002E0C4B" w:rsidRPr="0021199C">
        <w:rPr>
          <w:rFonts w:asciiTheme="minorHAnsi" w:hAnsiTheme="minorHAnsi" w:cstheme="minorHAnsi"/>
        </w:rPr>
        <w:t>bids are obtained from qualified sources.</w:t>
      </w:r>
      <w:r w:rsidR="0021199C" w:rsidRPr="0021199C">
        <w:rPr>
          <w:rFonts w:asciiTheme="minorHAnsi" w:hAnsiTheme="minorHAnsi" w:cstheme="minorHAnsi"/>
        </w:rPr>
        <w:t xml:space="preserve">  </w:t>
      </w:r>
      <w:r w:rsidR="00843702" w:rsidRPr="0021199C">
        <w:rPr>
          <w:rFonts w:asciiTheme="minorHAnsi" w:hAnsiTheme="minorHAnsi" w:cstheme="minorHAnsi"/>
        </w:rPr>
        <w:t>JTHG’s</w:t>
      </w:r>
      <w:r w:rsidR="002E0C4B" w:rsidRPr="0021199C">
        <w:rPr>
          <w:rFonts w:asciiTheme="minorHAnsi" w:hAnsiTheme="minorHAnsi" w:cstheme="minorHAnsi"/>
        </w:rPr>
        <w:t xml:space="preserve"> proposal process is as follows: </w:t>
      </w:r>
    </w:p>
    <w:p w14:paraId="1525306A" w14:textId="77777777" w:rsidR="002E0C4B" w:rsidRPr="00EC391F" w:rsidRDefault="002E0C4B" w:rsidP="0021199C">
      <w:pPr>
        <w:pStyle w:val="indent-3"/>
        <w:numPr>
          <w:ilvl w:val="2"/>
          <w:numId w:val="1"/>
        </w:numPr>
        <w:rPr>
          <w:rFonts w:asciiTheme="minorHAnsi" w:hAnsiTheme="minorHAnsi" w:cstheme="minorHAnsi"/>
        </w:rPr>
      </w:pPr>
      <w:r w:rsidRPr="00EC391F">
        <w:rPr>
          <w:rFonts w:asciiTheme="minorHAnsi" w:hAnsiTheme="minorHAnsi" w:cstheme="minorHAnsi"/>
        </w:rPr>
        <w:t>JTHG identifies the need and scope of the project.</w:t>
      </w:r>
    </w:p>
    <w:p w14:paraId="4EBEFDAB" w14:textId="76C062D5" w:rsidR="002E0C4B" w:rsidRPr="00EC391F" w:rsidRDefault="002E0C4B" w:rsidP="0021199C">
      <w:pPr>
        <w:pStyle w:val="indent-3"/>
        <w:numPr>
          <w:ilvl w:val="2"/>
          <w:numId w:val="1"/>
        </w:numPr>
        <w:rPr>
          <w:rFonts w:asciiTheme="minorHAnsi" w:hAnsiTheme="minorHAnsi" w:cstheme="minorHAnsi"/>
        </w:rPr>
      </w:pPr>
      <w:r w:rsidRPr="00EC391F">
        <w:rPr>
          <w:rFonts w:asciiTheme="minorHAnsi" w:hAnsiTheme="minorHAnsi" w:cstheme="minorHAnsi"/>
        </w:rPr>
        <w:t xml:space="preserve">Requests for proposals </w:t>
      </w:r>
      <w:r w:rsidR="00843702">
        <w:rPr>
          <w:rFonts w:asciiTheme="minorHAnsi" w:hAnsiTheme="minorHAnsi" w:cstheme="minorHAnsi"/>
        </w:rPr>
        <w:t xml:space="preserve">are </w:t>
      </w:r>
      <w:r w:rsidRPr="00EC391F">
        <w:rPr>
          <w:rFonts w:asciiTheme="minorHAnsi" w:hAnsiTheme="minorHAnsi" w:cstheme="minorHAnsi"/>
        </w:rPr>
        <w:t>solicited by multiple vendors.</w:t>
      </w:r>
    </w:p>
    <w:p w14:paraId="10166B95" w14:textId="77777777" w:rsidR="002E0C4B" w:rsidRPr="00EC391F" w:rsidRDefault="002E0C4B" w:rsidP="0021199C">
      <w:pPr>
        <w:pStyle w:val="indent-3"/>
        <w:numPr>
          <w:ilvl w:val="2"/>
          <w:numId w:val="1"/>
        </w:numPr>
        <w:rPr>
          <w:rFonts w:asciiTheme="minorHAnsi" w:hAnsiTheme="minorHAnsi" w:cstheme="minorHAnsi"/>
        </w:rPr>
      </w:pPr>
      <w:r w:rsidRPr="00EC391F">
        <w:rPr>
          <w:rFonts w:asciiTheme="minorHAnsi" w:hAnsiTheme="minorHAnsi" w:cstheme="minorHAnsi"/>
        </w:rPr>
        <w:t xml:space="preserve">JTHG reviews the proposals received.  </w:t>
      </w:r>
    </w:p>
    <w:p w14:paraId="4729DA2B" w14:textId="16F77B08" w:rsidR="002E0C4B" w:rsidRPr="00EC391F" w:rsidRDefault="002E0C4B" w:rsidP="0021199C">
      <w:pPr>
        <w:pStyle w:val="indent-3"/>
        <w:numPr>
          <w:ilvl w:val="2"/>
          <w:numId w:val="1"/>
        </w:numPr>
        <w:rPr>
          <w:rFonts w:asciiTheme="minorHAnsi" w:hAnsiTheme="minorHAnsi" w:cstheme="minorHAnsi"/>
        </w:rPr>
      </w:pPr>
      <w:r w:rsidRPr="00EC391F">
        <w:rPr>
          <w:rFonts w:asciiTheme="minorHAnsi" w:hAnsiTheme="minorHAnsi" w:cstheme="minorHAnsi"/>
        </w:rPr>
        <w:t>Contracts are awarded to the offeror whose proposal is most advantageous to JTHG, with price</w:t>
      </w:r>
      <w:r w:rsidR="00A85BE1">
        <w:rPr>
          <w:rFonts w:asciiTheme="minorHAnsi" w:hAnsiTheme="minorHAnsi" w:cstheme="minorHAnsi"/>
        </w:rPr>
        <w:t>, quality</w:t>
      </w:r>
      <w:r w:rsidRPr="00EC391F">
        <w:rPr>
          <w:rFonts w:asciiTheme="minorHAnsi" w:hAnsiTheme="minorHAnsi" w:cstheme="minorHAnsi"/>
        </w:rPr>
        <w:t xml:space="preserve"> and other factors considered.</w:t>
      </w:r>
    </w:p>
    <w:p w14:paraId="2BA36F73" w14:textId="57177DB3" w:rsidR="002E0C4B" w:rsidRDefault="002E0C4B" w:rsidP="0021199C">
      <w:pPr>
        <w:pStyle w:val="indent-3"/>
        <w:numPr>
          <w:ilvl w:val="2"/>
          <w:numId w:val="1"/>
        </w:numPr>
        <w:rPr>
          <w:rFonts w:asciiTheme="minorHAnsi" w:hAnsiTheme="minorHAnsi" w:cstheme="minorHAnsi"/>
        </w:rPr>
      </w:pPr>
      <w:r w:rsidRPr="00EC391F">
        <w:rPr>
          <w:rFonts w:asciiTheme="minorHAnsi" w:hAnsiTheme="minorHAnsi" w:cstheme="minorHAnsi"/>
        </w:rPr>
        <w:t xml:space="preserve">The proposals obtained are maintained as per our documentation policy.   </w:t>
      </w:r>
    </w:p>
    <w:p w14:paraId="3B3E1B30" w14:textId="21545B90" w:rsidR="00EB3086" w:rsidRPr="00EC391F" w:rsidRDefault="00EB3086" w:rsidP="00EB3086">
      <w:pPr>
        <w:pStyle w:val="indent-3"/>
        <w:numPr>
          <w:ilvl w:val="1"/>
          <w:numId w:val="1"/>
        </w:numPr>
        <w:rPr>
          <w:rFonts w:asciiTheme="minorHAnsi" w:hAnsiTheme="minorHAnsi" w:cstheme="minorHAnsi"/>
        </w:rPr>
      </w:pPr>
      <w:r>
        <w:rPr>
          <w:rFonts w:asciiTheme="minorHAnsi" w:hAnsiTheme="minorHAnsi" w:cstheme="minorHAnsi"/>
        </w:rPr>
        <w:t>JTHG will take necessary affirmative steps to assure that minority businesses, women’s business enterprises and labor surplus area firms are used when possible.</w:t>
      </w:r>
    </w:p>
    <w:p w14:paraId="37F761B9" w14:textId="4D9C6B6E" w:rsidR="002E0C4B" w:rsidRPr="00EC391F" w:rsidRDefault="002E0C4B" w:rsidP="002E0C4B">
      <w:pPr>
        <w:pStyle w:val="indent-1"/>
        <w:numPr>
          <w:ilvl w:val="0"/>
          <w:numId w:val="1"/>
        </w:numPr>
        <w:rPr>
          <w:rFonts w:asciiTheme="minorHAnsi" w:hAnsiTheme="minorHAnsi" w:cstheme="minorHAnsi"/>
        </w:rPr>
      </w:pPr>
      <w:r w:rsidRPr="00EC391F">
        <w:rPr>
          <w:rStyle w:val="Emphasis"/>
          <w:rFonts w:asciiTheme="minorHAnsi" w:hAnsiTheme="minorHAnsi" w:cstheme="minorHAnsi"/>
          <w:b w:val="0"/>
          <w:bCs/>
        </w:rPr>
        <w:t>Noncompetitive procurement</w:t>
      </w:r>
      <w:r w:rsidRPr="00EC391F">
        <w:rPr>
          <w:rFonts w:asciiTheme="minorHAnsi" w:hAnsiTheme="minorHAnsi" w:cstheme="minorHAnsi"/>
        </w:rPr>
        <w:t xml:space="preserve"> </w:t>
      </w:r>
    </w:p>
    <w:p w14:paraId="286CD2F8" w14:textId="445B1D0D" w:rsidR="002E0C4B" w:rsidRPr="00EC391F" w:rsidRDefault="002E0C4B" w:rsidP="002E0C4B">
      <w:pPr>
        <w:pStyle w:val="indent-1"/>
        <w:numPr>
          <w:ilvl w:val="1"/>
          <w:numId w:val="1"/>
        </w:numPr>
        <w:rPr>
          <w:rFonts w:asciiTheme="minorHAnsi" w:hAnsiTheme="minorHAnsi" w:cstheme="minorHAnsi"/>
        </w:rPr>
      </w:pPr>
      <w:r w:rsidRPr="00EC391F">
        <w:rPr>
          <w:rFonts w:asciiTheme="minorHAnsi" w:hAnsiTheme="minorHAnsi" w:cstheme="minorHAnsi"/>
        </w:rPr>
        <w:t xml:space="preserve">Occasionally, </w:t>
      </w:r>
      <w:r w:rsidR="00843702">
        <w:rPr>
          <w:rFonts w:asciiTheme="minorHAnsi" w:hAnsiTheme="minorHAnsi" w:cstheme="minorHAnsi"/>
        </w:rPr>
        <w:t xml:space="preserve">the </w:t>
      </w:r>
      <w:r w:rsidRPr="00EC391F">
        <w:rPr>
          <w:rFonts w:asciiTheme="minorHAnsi" w:hAnsiTheme="minorHAnsi" w:cstheme="minorHAnsi"/>
        </w:rPr>
        <w:t xml:space="preserve">noncompetitive procurement </w:t>
      </w:r>
      <w:r w:rsidR="00843702">
        <w:rPr>
          <w:rFonts w:asciiTheme="minorHAnsi" w:hAnsiTheme="minorHAnsi" w:cstheme="minorHAnsi"/>
        </w:rPr>
        <w:t xml:space="preserve">process is utilized.  </w:t>
      </w:r>
      <w:r w:rsidRPr="00EC391F">
        <w:rPr>
          <w:rFonts w:asciiTheme="minorHAnsi" w:hAnsiTheme="minorHAnsi" w:cstheme="minorHAnsi"/>
        </w:rPr>
        <w:t xml:space="preserve">Below are the circumstances when it is appropriate at JTHG: </w:t>
      </w:r>
    </w:p>
    <w:p w14:paraId="71E648FC" w14:textId="77777777" w:rsidR="002E0C4B" w:rsidRPr="00EC391F" w:rsidRDefault="002E0C4B" w:rsidP="002E0C4B">
      <w:pPr>
        <w:pStyle w:val="indent-2"/>
        <w:numPr>
          <w:ilvl w:val="2"/>
          <w:numId w:val="1"/>
        </w:numPr>
        <w:rPr>
          <w:rFonts w:asciiTheme="minorHAnsi" w:hAnsiTheme="minorHAnsi" w:cstheme="minorHAnsi"/>
        </w:rPr>
      </w:pPr>
      <w:r w:rsidRPr="00EC391F">
        <w:rPr>
          <w:rFonts w:asciiTheme="minorHAnsi" w:hAnsiTheme="minorHAnsi" w:cstheme="minorHAnsi"/>
        </w:rPr>
        <w:t xml:space="preserve">The item is available only from a single source. </w:t>
      </w:r>
    </w:p>
    <w:p w14:paraId="2A8AE408" w14:textId="77777777" w:rsidR="002E0C4B" w:rsidRPr="00EC391F" w:rsidRDefault="002E0C4B" w:rsidP="002E0C4B">
      <w:pPr>
        <w:pStyle w:val="indent-2"/>
        <w:numPr>
          <w:ilvl w:val="2"/>
          <w:numId w:val="1"/>
        </w:numPr>
        <w:rPr>
          <w:rFonts w:asciiTheme="minorHAnsi" w:hAnsiTheme="minorHAnsi" w:cstheme="minorHAnsi"/>
        </w:rPr>
      </w:pPr>
      <w:r w:rsidRPr="00EC391F">
        <w:rPr>
          <w:rFonts w:asciiTheme="minorHAnsi" w:hAnsiTheme="minorHAnsi" w:cstheme="minorHAnsi"/>
        </w:rPr>
        <w:t xml:space="preserve">The public exigency or emergency for the requirement will not permit a delay resulting from publicizing a competitive solicitation. </w:t>
      </w:r>
    </w:p>
    <w:p w14:paraId="2D5AE3BE" w14:textId="477EF6B0" w:rsidR="002E0C4B" w:rsidRPr="00EC391F" w:rsidRDefault="006217C1" w:rsidP="002E0C4B">
      <w:pPr>
        <w:pStyle w:val="indent-2"/>
        <w:numPr>
          <w:ilvl w:val="1"/>
          <w:numId w:val="1"/>
        </w:numPr>
        <w:rPr>
          <w:rFonts w:asciiTheme="minorHAnsi" w:hAnsiTheme="minorHAnsi" w:cstheme="minorHAnsi"/>
        </w:rPr>
      </w:pPr>
      <w:r>
        <w:rPr>
          <w:rFonts w:asciiTheme="minorHAnsi" w:hAnsiTheme="minorHAnsi" w:cstheme="minorHAnsi"/>
        </w:rPr>
        <w:t xml:space="preserve">Rationale </w:t>
      </w:r>
      <w:r w:rsidR="00843702">
        <w:rPr>
          <w:rFonts w:asciiTheme="minorHAnsi" w:hAnsiTheme="minorHAnsi" w:cstheme="minorHAnsi"/>
        </w:rPr>
        <w:t>on why the noncompetitive procurement process was utilized is</w:t>
      </w:r>
      <w:r>
        <w:rPr>
          <w:rFonts w:asciiTheme="minorHAnsi" w:hAnsiTheme="minorHAnsi" w:cstheme="minorHAnsi"/>
        </w:rPr>
        <w:t xml:space="preserve"> documented</w:t>
      </w:r>
      <w:r w:rsidR="00843702">
        <w:rPr>
          <w:rFonts w:asciiTheme="minorHAnsi" w:hAnsiTheme="minorHAnsi" w:cstheme="minorHAnsi"/>
        </w:rPr>
        <w:t xml:space="preserve">.  </w:t>
      </w:r>
      <w:r>
        <w:rPr>
          <w:rFonts w:asciiTheme="minorHAnsi" w:hAnsiTheme="minorHAnsi" w:cstheme="minorHAnsi"/>
        </w:rPr>
        <w:t xml:space="preserve">Factors to be considered include:  </w:t>
      </w:r>
      <w:r w:rsidR="002E0C4B" w:rsidRPr="00EC391F">
        <w:rPr>
          <w:rFonts w:asciiTheme="minorHAnsi" w:hAnsiTheme="minorHAnsi" w:cstheme="minorHAnsi"/>
        </w:rPr>
        <w:t xml:space="preserve">  </w:t>
      </w:r>
    </w:p>
    <w:p w14:paraId="12DFCBE3" w14:textId="0475DFED" w:rsidR="002E0C4B" w:rsidRPr="00EC391F" w:rsidRDefault="002E0C4B" w:rsidP="002E0C4B">
      <w:pPr>
        <w:pStyle w:val="indent-2"/>
        <w:numPr>
          <w:ilvl w:val="2"/>
          <w:numId w:val="1"/>
        </w:numPr>
        <w:rPr>
          <w:rFonts w:asciiTheme="minorHAnsi" w:hAnsiTheme="minorHAnsi" w:cstheme="minorHAnsi"/>
        </w:rPr>
      </w:pPr>
      <w:r w:rsidRPr="00EC391F">
        <w:rPr>
          <w:rFonts w:asciiTheme="minorHAnsi" w:hAnsiTheme="minorHAnsi" w:cstheme="minorHAnsi"/>
        </w:rPr>
        <w:t>Uniqueness of items or services to be procured from the proposed contractor or vendo</w:t>
      </w:r>
      <w:r w:rsidR="006217C1">
        <w:rPr>
          <w:rFonts w:asciiTheme="minorHAnsi" w:hAnsiTheme="minorHAnsi" w:cstheme="minorHAnsi"/>
        </w:rPr>
        <w:t>r.</w:t>
      </w:r>
      <w:r w:rsidRPr="00EC391F">
        <w:rPr>
          <w:rFonts w:asciiTheme="minorHAnsi" w:hAnsiTheme="minorHAnsi" w:cstheme="minorHAnsi"/>
        </w:rPr>
        <w:t xml:space="preserve"> </w:t>
      </w:r>
    </w:p>
    <w:p w14:paraId="2E9D9177" w14:textId="71ED5854" w:rsidR="002E0C4B" w:rsidRPr="00EC391F" w:rsidRDefault="002E0C4B" w:rsidP="002E0C4B">
      <w:pPr>
        <w:pStyle w:val="indent-2"/>
        <w:numPr>
          <w:ilvl w:val="2"/>
          <w:numId w:val="1"/>
        </w:numPr>
        <w:rPr>
          <w:rFonts w:asciiTheme="minorHAnsi" w:hAnsiTheme="minorHAnsi" w:cstheme="minorHAnsi"/>
        </w:rPr>
      </w:pPr>
      <w:r w:rsidRPr="00EC391F">
        <w:rPr>
          <w:rFonts w:asciiTheme="minorHAnsi" w:hAnsiTheme="minorHAnsi" w:cstheme="minorHAnsi"/>
        </w:rPr>
        <w:lastRenderedPageBreak/>
        <w:t>How JTHG determined that the item or service is only available from one source (e.g., market survey results, independent agency research, patented or proprietary system)</w:t>
      </w:r>
      <w:r w:rsidR="006217C1">
        <w:rPr>
          <w:rFonts w:asciiTheme="minorHAnsi" w:hAnsiTheme="minorHAnsi" w:cstheme="minorHAnsi"/>
        </w:rPr>
        <w:t>.</w:t>
      </w:r>
    </w:p>
    <w:p w14:paraId="6DE25F70" w14:textId="77777777" w:rsidR="002E0C4B" w:rsidRPr="00EC391F" w:rsidRDefault="002E0C4B" w:rsidP="002E0C4B">
      <w:pPr>
        <w:pStyle w:val="indent-2"/>
        <w:numPr>
          <w:ilvl w:val="2"/>
          <w:numId w:val="1"/>
        </w:numPr>
        <w:rPr>
          <w:rFonts w:asciiTheme="minorHAnsi" w:hAnsiTheme="minorHAnsi" w:cstheme="minorHAnsi"/>
        </w:rPr>
      </w:pPr>
      <w:r w:rsidRPr="00EC391F">
        <w:rPr>
          <w:rFonts w:asciiTheme="minorHAnsi" w:hAnsiTheme="minorHAnsi" w:cstheme="minorHAnsi"/>
        </w:rPr>
        <w:t>Explanation of need for contractor’s expertise linked to the current project (e.g., knowledge of project management, responsiveness, experience of contractor personnel, and/or prior work on earlier phases of project)</w:t>
      </w:r>
    </w:p>
    <w:p w14:paraId="20744A65" w14:textId="77777777" w:rsidR="002E0C4B" w:rsidRPr="00EC391F" w:rsidRDefault="002E0C4B" w:rsidP="002E0C4B">
      <w:pPr>
        <w:pStyle w:val="indent-2"/>
        <w:numPr>
          <w:ilvl w:val="2"/>
          <w:numId w:val="1"/>
        </w:numPr>
        <w:rPr>
          <w:rFonts w:asciiTheme="minorHAnsi" w:hAnsiTheme="minorHAnsi" w:cstheme="minorHAnsi"/>
        </w:rPr>
      </w:pPr>
      <w:r w:rsidRPr="00EC391F">
        <w:rPr>
          <w:rFonts w:asciiTheme="minorHAnsi" w:hAnsiTheme="minorHAnsi" w:cstheme="minorHAnsi"/>
        </w:rPr>
        <w:t>Any additional information that would support the case.</w:t>
      </w:r>
    </w:p>
    <w:p w14:paraId="2856BE2A" w14:textId="603BBC3D" w:rsidR="002E0C4B" w:rsidRDefault="002E0C4B" w:rsidP="00524DA6">
      <w:pPr>
        <w:pStyle w:val="indent-2"/>
        <w:numPr>
          <w:ilvl w:val="1"/>
          <w:numId w:val="1"/>
        </w:numPr>
        <w:rPr>
          <w:rFonts w:asciiTheme="minorHAnsi" w:hAnsiTheme="minorHAnsi" w:cstheme="minorHAnsi"/>
        </w:rPr>
      </w:pPr>
      <w:r w:rsidRPr="00A85BE1">
        <w:rPr>
          <w:rFonts w:asciiTheme="minorHAnsi" w:hAnsiTheme="minorHAnsi" w:cstheme="minorHAnsi"/>
        </w:rPr>
        <w:t xml:space="preserve">This </w:t>
      </w:r>
      <w:r w:rsidR="006217C1" w:rsidRPr="00A85BE1">
        <w:rPr>
          <w:rFonts w:asciiTheme="minorHAnsi" w:hAnsiTheme="minorHAnsi" w:cstheme="minorHAnsi"/>
        </w:rPr>
        <w:t xml:space="preserve">documentation will be </w:t>
      </w:r>
      <w:r w:rsidRPr="00A85BE1">
        <w:rPr>
          <w:rFonts w:asciiTheme="minorHAnsi" w:hAnsiTheme="minorHAnsi" w:cstheme="minorHAnsi"/>
        </w:rPr>
        <w:t>maintained per our documentation retention policy.</w:t>
      </w:r>
    </w:p>
    <w:p w14:paraId="4CBD6EC2" w14:textId="77777777" w:rsidR="00EB3086" w:rsidRDefault="00EB3086" w:rsidP="000541C3">
      <w:pPr>
        <w:pStyle w:val="indent-2"/>
        <w:rPr>
          <w:rFonts w:asciiTheme="minorHAnsi" w:hAnsiTheme="minorHAnsi" w:cstheme="minorHAnsi"/>
        </w:rPr>
      </w:pPr>
    </w:p>
    <w:p w14:paraId="1DA91B66" w14:textId="6FF5244E" w:rsidR="000541C3" w:rsidRDefault="000541C3" w:rsidP="000541C3">
      <w:pPr>
        <w:pStyle w:val="indent-2"/>
        <w:rPr>
          <w:rFonts w:asciiTheme="minorHAnsi" w:hAnsiTheme="minorHAnsi" w:cstheme="minorHAnsi"/>
        </w:rPr>
      </w:pPr>
      <w:r>
        <w:rPr>
          <w:rFonts w:asciiTheme="minorHAnsi" w:hAnsiTheme="minorHAnsi" w:cstheme="minorHAnsi"/>
        </w:rPr>
        <w:t xml:space="preserve">It is the responsibility of JTHG management to ensure contractors perform in accordance with the terms, conditions and specifications of their contracts or purchase orders.  </w:t>
      </w:r>
    </w:p>
    <w:p w14:paraId="267C7C42" w14:textId="7E063FAF" w:rsidR="00EB3086" w:rsidRPr="00EB3086" w:rsidRDefault="000541C3" w:rsidP="000541C3">
      <w:pPr>
        <w:pStyle w:val="indent-2"/>
        <w:rPr>
          <w:rFonts w:asciiTheme="minorHAnsi" w:hAnsiTheme="minorHAnsi" w:cstheme="minorHAnsi"/>
        </w:rPr>
      </w:pPr>
      <w:r>
        <w:rPr>
          <w:rFonts w:asciiTheme="minorHAnsi" w:hAnsiTheme="minorHAnsi" w:cstheme="minorHAnsi"/>
        </w:rPr>
        <w:t xml:space="preserve">No JTGH employee, officer or agent may participate in the selection, </w:t>
      </w:r>
      <w:r w:rsidR="00EB3086">
        <w:rPr>
          <w:rFonts w:asciiTheme="minorHAnsi" w:hAnsiTheme="minorHAnsi" w:cstheme="minorHAnsi"/>
        </w:rPr>
        <w:t>award,</w:t>
      </w:r>
      <w:r>
        <w:rPr>
          <w:rFonts w:asciiTheme="minorHAnsi" w:hAnsiTheme="minorHAnsi" w:cstheme="minorHAnsi"/>
        </w:rPr>
        <w:t xml:space="preserve"> or administration of a contract if he or she has a real or apparent conflict</w:t>
      </w:r>
      <w:r w:rsidR="008929B7">
        <w:rPr>
          <w:rFonts w:asciiTheme="minorHAnsi" w:hAnsiTheme="minorHAnsi" w:cstheme="minorHAnsi"/>
        </w:rPr>
        <w:t xml:space="preserve"> of interest.</w:t>
      </w:r>
    </w:p>
    <w:p w14:paraId="0B078B34" w14:textId="77777777" w:rsidR="00EB3086" w:rsidRPr="00EB3086" w:rsidRDefault="00EB3086" w:rsidP="00EB3086">
      <w:pPr>
        <w:numPr>
          <w:ilvl w:val="0"/>
          <w:numId w:val="2"/>
        </w:numPr>
        <w:shd w:val="clear" w:color="auto" w:fill="FFFFFF"/>
        <w:spacing w:before="100" w:beforeAutospacing="1" w:after="100" w:afterAutospacing="1"/>
        <w:ind w:left="960"/>
        <w:rPr>
          <w:rFonts w:asciiTheme="minorHAnsi" w:hAnsiTheme="minorHAnsi" w:cstheme="minorHAnsi"/>
          <w:color w:val="414141"/>
          <w:lang w:bidi="ar-SA"/>
        </w:rPr>
      </w:pPr>
      <w:r w:rsidRPr="00EB3086">
        <w:rPr>
          <w:rFonts w:asciiTheme="minorHAnsi" w:hAnsiTheme="minorHAnsi" w:cstheme="minorHAnsi"/>
          <w:color w:val="414141"/>
          <w:lang w:bidi="ar-SA"/>
        </w:rPr>
        <w:t>A purchase of $150 or less requires no approval </w:t>
      </w:r>
    </w:p>
    <w:p w14:paraId="3B73EE4E" w14:textId="77777777" w:rsidR="00EB3086" w:rsidRPr="00EB3086" w:rsidRDefault="00EB3086" w:rsidP="00EB3086">
      <w:pPr>
        <w:numPr>
          <w:ilvl w:val="0"/>
          <w:numId w:val="2"/>
        </w:numPr>
        <w:shd w:val="clear" w:color="auto" w:fill="FFFFFF"/>
        <w:spacing w:before="100" w:beforeAutospacing="1" w:after="100" w:afterAutospacing="1"/>
        <w:ind w:left="960"/>
        <w:rPr>
          <w:rFonts w:asciiTheme="minorHAnsi" w:hAnsiTheme="minorHAnsi" w:cstheme="minorHAnsi"/>
          <w:color w:val="414141"/>
          <w:lang w:bidi="ar-SA"/>
        </w:rPr>
      </w:pPr>
      <w:r w:rsidRPr="00EB3086">
        <w:rPr>
          <w:rFonts w:asciiTheme="minorHAnsi" w:hAnsiTheme="minorHAnsi" w:cstheme="minorHAnsi"/>
          <w:color w:val="414141"/>
          <w:lang w:bidi="ar-SA"/>
        </w:rPr>
        <w:t>Purchases of $500 or less require only one approver </w:t>
      </w:r>
    </w:p>
    <w:p w14:paraId="698A0AD0" w14:textId="77777777" w:rsidR="00EB3086" w:rsidRPr="00EB3086" w:rsidRDefault="00EB3086" w:rsidP="00EB3086">
      <w:pPr>
        <w:numPr>
          <w:ilvl w:val="0"/>
          <w:numId w:val="2"/>
        </w:numPr>
        <w:shd w:val="clear" w:color="auto" w:fill="FFFFFF"/>
        <w:spacing w:before="100" w:beforeAutospacing="1" w:after="100" w:afterAutospacing="1"/>
        <w:ind w:left="960"/>
        <w:rPr>
          <w:rFonts w:asciiTheme="minorHAnsi" w:hAnsiTheme="minorHAnsi" w:cstheme="minorHAnsi"/>
          <w:color w:val="414141"/>
          <w:lang w:bidi="ar-SA"/>
        </w:rPr>
      </w:pPr>
      <w:r w:rsidRPr="00EB3086">
        <w:rPr>
          <w:rFonts w:asciiTheme="minorHAnsi" w:hAnsiTheme="minorHAnsi" w:cstheme="minorHAnsi"/>
          <w:color w:val="414141"/>
          <w:lang w:bidi="ar-SA"/>
        </w:rPr>
        <w:t>A purchase of $5,000 or less requires two approvals</w:t>
      </w:r>
    </w:p>
    <w:p w14:paraId="747E7757" w14:textId="77777777" w:rsidR="00EB3086" w:rsidRDefault="00EB3086" w:rsidP="000541C3">
      <w:pPr>
        <w:pStyle w:val="indent-2"/>
        <w:rPr>
          <w:rFonts w:asciiTheme="minorHAnsi" w:hAnsiTheme="minorHAnsi" w:cstheme="minorHAnsi"/>
        </w:rPr>
      </w:pPr>
    </w:p>
    <w:sectPr w:rsidR="00EB3086" w:rsidSect="00377936">
      <w:footerReference w:type="default" r:id="rId7"/>
      <w:pgSz w:w="12240" w:h="15840"/>
      <w:pgMar w:top="864" w:right="1267" w:bottom="135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DF9CA" w14:textId="77777777" w:rsidR="003F1360" w:rsidRDefault="003F1360">
      <w:r>
        <w:separator/>
      </w:r>
    </w:p>
  </w:endnote>
  <w:endnote w:type="continuationSeparator" w:id="0">
    <w:p w14:paraId="384D5659" w14:textId="77777777" w:rsidR="003F1360" w:rsidRDefault="003F1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A10F3" w14:textId="77777777" w:rsidR="00080F58" w:rsidRPr="00884739" w:rsidRDefault="0021199C" w:rsidP="00377936">
    <w:pPr>
      <w:pStyle w:val="Footer"/>
      <w:jc w:val="center"/>
      <w:rPr>
        <w:rFonts w:ascii="Georgia" w:hAnsi="Georgia"/>
        <w:sz w:val="20"/>
        <w:szCs w:val="20"/>
      </w:rPr>
    </w:pPr>
    <w:r w:rsidRPr="00884739">
      <w:rPr>
        <w:rFonts w:ascii="Georgia" w:hAnsi="Georgia"/>
        <w:sz w:val="20"/>
        <w:szCs w:val="20"/>
      </w:rPr>
      <w:t xml:space="preserve">Page </w:t>
    </w:r>
    <w:r w:rsidRPr="00884739">
      <w:rPr>
        <w:rFonts w:ascii="Georgia" w:hAnsi="Georgia"/>
        <w:sz w:val="20"/>
        <w:szCs w:val="20"/>
      </w:rPr>
      <w:fldChar w:fldCharType="begin"/>
    </w:r>
    <w:r w:rsidRPr="00884739">
      <w:rPr>
        <w:rFonts w:ascii="Georgia" w:hAnsi="Georgia"/>
        <w:sz w:val="20"/>
        <w:szCs w:val="20"/>
      </w:rPr>
      <w:instrText xml:space="preserve"> PAGE </w:instrText>
    </w:r>
    <w:r w:rsidRPr="00884739">
      <w:rPr>
        <w:rFonts w:ascii="Georgia" w:hAnsi="Georgia"/>
        <w:sz w:val="20"/>
        <w:szCs w:val="20"/>
      </w:rPr>
      <w:fldChar w:fldCharType="separate"/>
    </w:r>
    <w:r>
      <w:rPr>
        <w:rFonts w:ascii="Georgia" w:hAnsi="Georgia"/>
        <w:noProof/>
        <w:sz w:val="20"/>
        <w:szCs w:val="20"/>
      </w:rPr>
      <w:t>1</w:t>
    </w:r>
    <w:r w:rsidRPr="00884739">
      <w:rPr>
        <w:rFonts w:ascii="Georgia" w:hAnsi="Georgia"/>
        <w:sz w:val="20"/>
        <w:szCs w:val="20"/>
      </w:rPr>
      <w:fldChar w:fldCharType="end"/>
    </w:r>
    <w:r w:rsidRPr="00884739">
      <w:rPr>
        <w:rFonts w:ascii="Georgia" w:hAnsi="Georgia"/>
        <w:sz w:val="20"/>
        <w:szCs w:val="20"/>
      </w:rPr>
      <w:t xml:space="preserve"> of </w:t>
    </w:r>
    <w:r w:rsidRPr="00884739">
      <w:rPr>
        <w:rFonts w:ascii="Georgia" w:hAnsi="Georgia"/>
        <w:sz w:val="20"/>
        <w:szCs w:val="20"/>
      </w:rPr>
      <w:fldChar w:fldCharType="begin"/>
    </w:r>
    <w:r w:rsidRPr="00884739">
      <w:rPr>
        <w:rFonts w:ascii="Georgia" w:hAnsi="Georgia"/>
        <w:sz w:val="20"/>
        <w:szCs w:val="20"/>
      </w:rPr>
      <w:instrText xml:space="preserve"> NUMPAGES </w:instrText>
    </w:r>
    <w:r w:rsidRPr="00884739">
      <w:rPr>
        <w:rFonts w:ascii="Georgia" w:hAnsi="Georgia"/>
        <w:sz w:val="20"/>
        <w:szCs w:val="20"/>
      </w:rPr>
      <w:fldChar w:fldCharType="separate"/>
    </w:r>
    <w:r>
      <w:rPr>
        <w:rFonts w:ascii="Georgia" w:hAnsi="Georgia"/>
        <w:noProof/>
        <w:sz w:val="20"/>
        <w:szCs w:val="20"/>
      </w:rPr>
      <w:t>25</w:t>
    </w:r>
    <w:r w:rsidRPr="00884739">
      <w:rPr>
        <w:rFonts w:ascii="Georgia" w:hAnsi="Georgi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F7268" w14:textId="77777777" w:rsidR="003F1360" w:rsidRDefault="003F1360">
      <w:r>
        <w:separator/>
      </w:r>
    </w:p>
  </w:footnote>
  <w:footnote w:type="continuationSeparator" w:id="0">
    <w:p w14:paraId="0F79704C" w14:textId="77777777" w:rsidR="003F1360" w:rsidRDefault="003F13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2F209E"/>
    <w:multiLevelType w:val="hybridMultilevel"/>
    <w:tmpl w:val="8A289E04"/>
    <w:lvl w:ilvl="0" w:tplc="39D4F542">
      <w:start w:val="1"/>
      <w:numFmt w:val="decimal"/>
      <w:lvlText w:val="%1)"/>
      <w:lvlJc w:val="left"/>
      <w:pPr>
        <w:ind w:left="720" w:hanging="360"/>
      </w:pPr>
      <w:rPr>
        <w:rFonts w:ascii="Calibri" w:hAnsi="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953D81"/>
    <w:multiLevelType w:val="multilevel"/>
    <w:tmpl w:val="76C4D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C4B"/>
    <w:rsid w:val="000541C3"/>
    <w:rsid w:val="000808D3"/>
    <w:rsid w:val="0021199C"/>
    <w:rsid w:val="002A02F8"/>
    <w:rsid w:val="002E0C4B"/>
    <w:rsid w:val="003F1360"/>
    <w:rsid w:val="006217C1"/>
    <w:rsid w:val="00843702"/>
    <w:rsid w:val="008929B7"/>
    <w:rsid w:val="008B6293"/>
    <w:rsid w:val="0091611C"/>
    <w:rsid w:val="00A85BE1"/>
    <w:rsid w:val="00EB3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32217"/>
  <w15:chartTrackingRefBased/>
  <w15:docId w15:val="{0A04E995-F8CF-4FF6-BDD8-F6856EB5A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C4B"/>
    <w:pPr>
      <w:spacing w:after="0" w:line="240" w:lineRule="auto"/>
    </w:pPr>
    <w:rPr>
      <w:rFonts w:ascii="Calibri" w:eastAsia="Times New Roman" w:hAnsi="Calibri" w:cs="Times New Roman"/>
      <w:sz w:val="24"/>
      <w:szCs w:val="24"/>
      <w:lang w:bidi="en-US"/>
    </w:rPr>
  </w:style>
  <w:style w:type="paragraph" w:styleId="Heading2">
    <w:name w:val="heading 2"/>
    <w:basedOn w:val="Normal"/>
    <w:link w:val="Heading2Char"/>
    <w:uiPriority w:val="9"/>
    <w:qFormat/>
    <w:rsid w:val="0091611C"/>
    <w:pPr>
      <w:spacing w:before="100" w:beforeAutospacing="1" w:after="100" w:afterAutospacing="1"/>
      <w:outlineLvl w:val="1"/>
    </w:pPr>
    <w:rPr>
      <w:rFonts w:ascii="Times New Roman" w:hAnsi="Times New Roman"/>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0C4B"/>
    <w:pPr>
      <w:spacing w:before="100" w:beforeAutospacing="1" w:after="100" w:afterAutospacing="1"/>
    </w:pPr>
    <w:rPr>
      <w:rFonts w:ascii="Times New Roman" w:hAnsi="Times New Roman"/>
    </w:rPr>
  </w:style>
  <w:style w:type="paragraph" w:styleId="Footer">
    <w:name w:val="footer"/>
    <w:basedOn w:val="Normal"/>
    <w:link w:val="FooterChar"/>
    <w:uiPriority w:val="99"/>
    <w:unhideWhenUsed/>
    <w:rsid w:val="002E0C4B"/>
    <w:pPr>
      <w:tabs>
        <w:tab w:val="center" w:pos="4680"/>
        <w:tab w:val="right" w:pos="9360"/>
      </w:tabs>
    </w:pPr>
  </w:style>
  <w:style w:type="character" w:customStyle="1" w:styleId="FooterChar">
    <w:name w:val="Footer Char"/>
    <w:basedOn w:val="DefaultParagraphFont"/>
    <w:link w:val="Footer"/>
    <w:uiPriority w:val="99"/>
    <w:rsid w:val="002E0C4B"/>
    <w:rPr>
      <w:rFonts w:ascii="Calibri" w:eastAsia="Times New Roman" w:hAnsi="Calibri" w:cs="Times New Roman"/>
      <w:sz w:val="24"/>
      <w:szCs w:val="24"/>
      <w:lang w:bidi="en-US"/>
    </w:rPr>
  </w:style>
  <w:style w:type="character" w:styleId="Emphasis">
    <w:name w:val="Emphasis"/>
    <w:uiPriority w:val="20"/>
    <w:qFormat/>
    <w:rsid w:val="002E0C4B"/>
    <w:rPr>
      <w:rFonts w:ascii="Calibri" w:hAnsi="Calibri"/>
      <w:b/>
      <w:i/>
      <w:iCs/>
    </w:rPr>
  </w:style>
  <w:style w:type="paragraph" w:styleId="ListParagraph">
    <w:name w:val="List Paragraph"/>
    <w:basedOn w:val="Normal"/>
    <w:uiPriority w:val="34"/>
    <w:qFormat/>
    <w:rsid w:val="002E0C4B"/>
    <w:pPr>
      <w:ind w:left="720"/>
      <w:contextualSpacing/>
    </w:pPr>
  </w:style>
  <w:style w:type="paragraph" w:customStyle="1" w:styleId="indent-1">
    <w:name w:val="indent-1"/>
    <w:basedOn w:val="Normal"/>
    <w:rsid w:val="002E0C4B"/>
    <w:pPr>
      <w:spacing w:before="100" w:beforeAutospacing="1" w:after="100" w:afterAutospacing="1"/>
    </w:pPr>
    <w:rPr>
      <w:rFonts w:ascii="Times New Roman" w:hAnsi="Times New Roman"/>
      <w:lang w:bidi="ar-SA"/>
    </w:rPr>
  </w:style>
  <w:style w:type="character" w:customStyle="1" w:styleId="paragraph-hierarchy">
    <w:name w:val="paragraph-hierarchy"/>
    <w:basedOn w:val="DefaultParagraphFont"/>
    <w:rsid w:val="002E0C4B"/>
  </w:style>
  <w:style w:type="paragraph" w:customStyle="1" w:styleId="indent-2">
    <w:name w:val="indent-2"/>
    <w:basedOn w:val="Normal"/>
    <w:rsid w:val="002E0C4B"/>
    <w:pPr>
      <w:spacing w:before="100" w:beforeAutospacing="1" w:after="100" w:afterAutospacing="1"/>
    </w:pPr>
    <w:rPr>
      <w:rFonts w:ascii="Times New Roman" w:hAnsi="Times New Roman"/>
      <w:lang w:bidi="ar-SA"/>
    </w:rPr>
  </w:style>
  <w:style w:type="paragraph" w:customStyle="1" w:styleId="indent-3">
    <w:name w:val="indent-3"/>
    <w:basedOn w:val="Normal"/>
    <w:rsid w:val="002E0C4B"/>
    <w:pPr>
      <w:spacing w:before="100" w:beforeAutospacing="1" w:after="100" w:afterAutospacing="1"/>
    </w:pPr>
    <w:rPr>
      <w:rFonts w:ascii="Times New Roman" w:hAnsi="Times New Roman"/>
      <w:lang w:bidi="ar-SA"/>
    </w:rPr>
  </w:style>
  <w:style w:type="character" w:customStyle="1" w:styleId="Heading2Char">
    <w:name w:val="Heading 2 Char"/>
    <w:basedOn w:val="DefaultParagraphFont"/>
    <w:link w:val="Heading2"/>
    <w:uiPriority w:val="9"/>
    <w:rsid w:val="0091611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A02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55971">
      <w:bodyDiv w:val="1"/>
      <w:marLeft w:val="0"/>
      <w:marRight w:val="0"/>
      <w:marTop w:val="0"/>
      <w:marBottom w:val="0"/>
      <w:divBdr>
        <w:top w:val="none" w:sz="0" w:space="0" w:color="auto"/>
        <w:left w:val="none" w:sz="0" w:space="0" w:color="auto"/>
        <w:bottom w:val="none" w:sz="0" w:space="0" w:color="auto"/>
        <w:right w:val="none" w:sz="0" w:space="0" w:color="auto"/>
      </w:divBdr>
    </w:div>
    <w:div w:id="580605235">
      <w:bodyDiv w:val="1"/>
      <w:marLeft w:val="0"/>
      <w:marRight w:val="0"/>
      <w:marTop w:val="0"/>
      <w:marBottom w:val="0"/>
      <w:divBdr>
        <w:top w:val="none" w:sz="0" w:space="0" w:color="auto"/>
        <w:left w:val="none" w:sz="0" w:space="0" w:color="auto"/>
        <w:bottom w:val="none" w:sz="0" w:space="0" w:color="auto"/>
        <w:right w:val="none" w:sz="0" w:space="0" w:color="auto"/>
      </w:divBdr>
    </w:div>
    <w:div w:id="150779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Williams</dc:creator>
  <cp:keywords/>
  <dc:description/>
  <cp:lastModifiedBy>Penny Williams</cp:lastModifiedBy>
  <cp:revision>6</cp:revision>
  <cp:lastPrinted>2022-03-24T15:23:00Z</cp:lastPrinted>
  <dcterms:created xsi:type="dcterms:W3CDTF">2022-03-24T15:19:00Z</dcterms:created>
  <dcterms:modified xsi:type="dcterms:W3CDTF">2022-03-24T16:40:00Z</dcterms:modified>
</cp:coreProperties>
</file>